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11400"/>
      </w:tblGrid>
      <w:tr w:rsidR="003A5303" w:rsidRPr="00160BD9" w:rsidTr="00B303D2">
        <w:trPr>
          <w:trHeight w:val="1755"/>
          <w:tblCellSpacing w:w="0" w:type="dxa"/>
        </w:trPr>
        <w:tc>
          <w:tcPr>
            <w:tcW w:w="0" w:type="auto"/>
            <w:tcMar>
              <w:top w:w="225" w:type="dxa"/>
              <w:left w:w="300" w:type="dxa"/>
              <w:bottom w:w="225" w:type="dxa"/>
              <w:right w:w="300" w:type="dxa"/>
            </w:tcMar>
            <w:hideMark/>
          </w:tcPr>
          <w:p w:rsidR="00160BD9" w:rsidRDefault="00160BD9" w:rsidP="00160BD9">
            <w:pPr>
              <w:spacing w:after="0" w:line="240" w:lineRule="auto"/>
              <w:jc w:val="center"/>
              <w:rPr>
                <w:rFonts w:ascii="Bernard MT Condensed" w:eastAsia="Times New Roman" w:hAnsi="Bernard MT Condensed" w:cs="Times New Roman"/>
                <w:b/>
                <w:color w:val="FF0000"/>
                <w:sz w:val="96"/>
                <w:szCs w:val="96"/>
                <w:lang w:val="es-US"/>
              </w:rPr>
            </w:pPr>
            <w:r w:rsidRPr="006C4772">
              <w:rPr>
                <w:rFonts w:ascii="Rockwell" w:eastAsia="Rockwell" w:hAnsi="Rockwell" w:cs="Times New Roman"/>
                <w:noProof/>
                <w:sz w:val="20"/>
                <w:szCs w:val="20"/>
              </w:rPr>
              <w:drawing>
                <wp:anchor distT="0" distB="0" distL="114300" distR="114300" simplePos="0" relativeHeight="251658752" behindDoc="1" locked="0" layoutInCell="1" allowOverlap="1" wp14:anchorId="78E8A5F2" wp14:editId="10333D5D">
                  <wp:simplePos x="0" y="0"/>
                  <wp:positionH relativeFrom="column">
                    <wp:posOffset>4572000</wp:posOffset>
                  </wp:positionH>
                  <wp:positionV relativeFrom="paragraph">
                    <wp:posOffset>-141605</wp:posOffset>
                  </wp:positionV>
                  <wp:extent cx="400050" cy="3092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grayscl/>
                            <a:biLevel thresh="50000"/>
                            <a:extLst>
                              <a:ext uri="{28A0092B-C50C-407E-A947-70E740481C1C}">
                                <a14:useLocalDpi xmlns:a14="http://schemas.microsoft.com/office/drawing/2010/main" val="0"/>
                              </a:ext>
                            </a:extLst>
                          </a:blip>
                          <a:srcRect/>
                          <a:stretch>
                            <a:fillRect/>
                          </a:stretch>
                        </pic:blipFill>
                        <pic:spPr bwMode="auto">
                          <a:xfrm>
                            <a:off x="0" y="0"/>
                            <a:ext cx="400050" cy="309245"/>
                          </a:xfrm>
                          <a:prstGeom prst="rect">
                            <a:avLst/>
                          </a:prstGeom>
                          <a:noFill/>
                        </pic:spPr>
                      </pic:pic>
                    </a:graphicData>
                  </a:graphic>
                  <wp14:sizeRelH relativeFrom="margin">
                    <wp14:pctWidth>0</wp14:pctWidth>
                  </wp14:sizeRelH>
                  <wp14:sizeRelV relativeFrom="margin">
                    <wp14:pctHeight>0</wp14:pctHeight>
                  </wp14:sizeRelV>
                </wp:anchor>
              </w:drawing>
            </w:r>
            <w:r w:rsidRPr="006C4772">
              <w:rPr>
                <w:rFonts w:ascii="Bernard MT Condensed" w:eastAsia="Times New Roman" w:hAnsi="Bernard MT Condensed" w:cs="Times New Roman"/>
                <w:b/>
                <w:sz w:val="96"/>
                <w:szCs w:val="96"/>
                <w:lang w:val="es-US"/>
              </w:rPr>
              <w:t xml:space="preserve">EL BARRIO </w:t>
            </w:r>
            <w:r w:rsidRPr="006C4772">
              <w:rPr>
                <w:rFonts w:ascii="Bernard MT Condensed" w:eastAsia="Times New Roman" w:hAnsi="Bernard MT Condensed" w:cs="Times New Roman"/>
                <w:b/>
                <w:color w:val="FF0000"/>
                <w:sz w:val="96"/>
                <w:szCs w:val="96"/>
                <w:lang w:val="es-US"/>
              </w:rPr>
              <w:t>UNıTE</w:t>
            </w:r>
          </w:p>
          <w:tbl>
            <w:tblPr>
              <w:tblpPr w:leftFromText="180" w:rightFromText="180" w:vertAnchor="text" w:horzAnchor="margin" w:tblpY="390"/>
              <w:tblW w:w="11070" w:type="dxa"/>
              <w:tblCellSpacing w:w="0" w:type="dxa"/>
              <w:tblCellMar>
                <w:left w:w="0" w:type="dxa"/>
                <w:right w:w="0" w:type="dxa"/>
              </w:tblCellMar>
              <w:tblLook w:val="04A0" w:firstRow="1" w:lastRow="0" w:firstColumn="1" w:lastColumn="0" w:noHBand="0" w:noVBand="1"/>
            </w:tblPr>
            <w:tblGrid>
              <w:gridCol w:w="10800"/>
            </w:tblGrid>
            <w:tr w:rsidR="00B303D2" w:rsidRPr="003A5303" w:rsidTr="00B303D2">
              <w:trPr>
                <w:trHeight w:val="861"/>
                <w:tblCellSpacing w:w="0" w:type="dxa"/>
              </w:trPr>
              <w:tc>
                <w:tcPr>
                  <w:tcW w:w="11070" w:type="dxa"/>
                  <w:tcMar>
                    <w:top w:w="120" w:type="dxa"/>
                    <w:left w:w="300" w:type="dxa"/>
                    <w:bottom w:w="135" w:type="dxa"/>
                    <w:right w:w="300" w:type="dxa"/>
                  </w:tcMar>
                  <w:hideMark/>
                </w:tcPr>
                <w:tbl>
                  <w:tblPr>
                    <w:tblpPr w:leftFromText="180" w:rightFromText="180" w:vertAnchor="text" w:horzAnchor="margin" w:tblpX="-270" w:tblpY="812"/>
                    <w:tblW w:w="11400" w:type="dxa"/>
                    <w:tblCellSpacing w:w="0" w:type="dxa"/>
                    <w:tblCellMar>
                      <w:left w:w="0" w:type="dxa"/>
                      <w:right w:w="0" w:type="dxa"/>
                    </w:tblCellMar>
                    <w:tblLook w:val="04A0" w:firstRow="1" w:lastRow="0" w:firstColumn="1" w:lastColumn="0" w:noHBand="0" w:noVBand="1"/>
                  </w:tblPr>
                  <w:tblGrid>
                    <w:gridCol w:w="11400"/>
                  </w:tblGrid>
                  <w:tr w:rsidR="00B303D2" w:rsidRPr="003A5303" w:rsidTr="00B303D2">
                    <w:trPr>
                      <w:tblCellSpacing w:w="0" w:type="dxa"/>
                    </w:trPr>
                    <w:tc>
                      <w:tcPr>
                        <w:tcW w:w="0" w:type="auto"/>
                        <w:tcMar>
                          <w:top w:w="120" w:type="dxa"/>
                          <w:left w:w="300" w:type="dxa"/>
                          <w:bottom w:w="135" w:type="dxa"/>
                          <w:right w:w="300" w:type="dxa"/>
                        </w:tcMar>
                        <w:hideMark/>
                      </w:tcPr>
                      <w:tbl>
                        <w:tblPr>
                          <w:tblpPr w:leftFromText="120" w:rightFromText="45" w:vertAnchor="text" w:tblpXSpec="right" w:tblpYSpec="center"/>
                          <w:tblW w:w="4500" w:type="dxa"/>
                          <w:tblCellSpacing w:w="0" w:type="dxa"/>
                          <w:tblCellMar>
                            <w:left w:w="0" w:type="dxa"/>
                            <w:right w:w="0" w:type="dxa"/>
                          </w:tblCellMar>
                          <w:tblLook w:val="04A0" w:firstRow="1" w:lastRow="0" w:firstColumn="1" w:lastColumn="0" w:noHBand="0" w:noVBand="1"/>
                        </w:tblPr>
                        <w:tblGrid>
                          <w:gridCol w:w="6"/>
                          <w:gridCol w:w="4494"/>
                        </w:tblGrid>
                        <w:tr w:rsidR="00B303D2" w:rsidRPr="003A5303" w:rsidTr="003B35AE">
                          <w:trPr>
                            <w:trHeight w:val="15"/>
                            <w:tblCellSpacing w:w="0" w:type="dxa"/>
                          </w:trPr>
                          <w:tc>
                            <w:tcPr>
                              <w:tcW w:w="75" w:type="dxa"/>
                              <w:hideMark/>
                            </w:tcPr>
                            <w:p w:rsidR="00B303D2" w:rsidRPr="003A5303" w:rsidRDefault="00B303D2" w:rsidP="00B303D2">
                              <w:pPr>
                                <w:spacing w:after="0" w:line="15" w:lineRule="atLeast"/>
                                <w:ind w:left="-301" w:right="212"/>
                                <w:jc w:val="center"/>
                                <w:rPr>
                                  <w:rFonts w:ascii="Times New Roman" w:eastAsia="Times New Roman" w:hAnsi="Times New Roman" w:cs="Times New Roman"/>
                                  <w:sz w:val="24"/>
                                  <w:szCs w:val="24"/>
                                </w:rPr>
                              </w:pPr>
                              <w:r w:rsidRPr="003A5303">
                                <w:rPr>
                                  <w:rFonts w:ascii="Times New Roman" w:eastAsia="Times New Roman" w:hAnsi="Times New Roman" w:cs="Times New Roman"/>
                                  <w:noProof/>
                                  <w:sz w:val="24"/>
                                  <w:szCs w:val="24"/>
                                </w:rPr>
                                <w:drawing>
                                  <wp:inline distT="0" distB="0" distL="0" distR="0" wp14:anchorId="6A41803E" wp14:editId="6DE1BD76">
                                    <wp:extent cx="47625" cy="9525"/>
                                    <wp:effectExtent l="0" t="0" r="0" b="0"/>
                                    <wp:docPr id="2" name="Picture 2"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ssl.constantcontact.com/letters/images/sys/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5000" w:type="pct"/>
                              <w:vAlign w:val="center"/>
                              <w:hideMark/>
                            </w:tcPr>
                            <w:p w:rsidR="00B303D2" w:rsidRPr="003A5303" w:rsidRDefault="00B303D2" w:rsidP="00B303D2">
                              <w:pPr>
                                <w:spacing w:after="0" w:line="15" w:lineRule="atLeast"/>
                                <w:ind w:left="-301" w:right="212"/>
                                <w:jc w:val="center"/>
                                <w:rPr>
                                  <w:rFonts w:ascii="Times New Roman" w:eastAsia="Times New Roman" w:hAnsi="Times New Roman" w:cs="Times New Roman"/>
                                  <w:sz w:val="24"/>
                                  <w:szCs w:val="24"/>
                                </w:rPr>
                              </w:pPr>
                              <w:r w:rsidRPr="003A5303">
                                <w:rPr>
                                  <w:rFonts w:ascii="Times New Roman" w:eastAsia="Times New Roman" w:hAnsi="Times New Roman" w:cs="Times New Roman"/>
                                  <w:noProof/>
                                  <w:sz w:val="24"/>
                                  <w:szCs w:val="24"/>
                                </w:rPr>
                                <w:drawing>
                                  <wp:inline distT="0" distB="0" distL="0" distR="0" wp14:anchorId="082E4A23" wp14:editId="72DED456">
                                    <wp:extent cx="2857500" cy="2914650"/>
                                    <wp:effectExtent l="0" t="0" r="0" b="0"/>
                                    <wp:docPr id="3" name="yui_3_16_0_1_1498769416763_4821" descr="http://files.constantcontact.com/c8b8a1ab001/1e327dba-9277-4d81-ab8d-3415e7a69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1_1498769416763_4821" descr="http://files.constantcontact.com/c8b8a1ab001/1e327dba-9277-4d81-ab8d-3415e7a6950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2914650"/>
                                            </a:xfrm>
                                            <a:prstGeom prst="rect">
                                              <a:avLst/>
                                            </a:prstGeom>
                                            <a:noFill/>
                                            <a:ln>
                                              <a:noFill/>
                                            </a:ln>
                                          </pic:spPr>
                                        </pic:pic>
                                      </a:graphicData>
                                    </a:graphic>
                                  </wp:inline>
                                </w:drawing>
                              </w:r>
                            </w:p>
                          </w:tc>
                        </w:tr>
                      </w:tbl>
                      <w:p w:rsidR="00B303D2" w:rsidRDefault="00B303D2" w:rsidP="00B303D2">
                        <w:pPr>
                          <w:spacing w:after="0" w:line="230" w:lineRule="atLeast"/>
                          <w:ind w:left="-301" w:right="212"/>
                          <w:rPr>
                            <w:rFonts w:ascii="Helvetica" w:eastAsia="Times New Roman" w:hAnsi="Helvetica" w:cs="Helvetica"/>
                            <w:color w:val="403F42"/>
                            <w:sz w:val="24"/>
                            <w:szCs w:val="24"/>
                          </w:rPr>
                        </w:pPr>
                        <w:r w:rsidRPr="003A5303">
                          <w:rPr>
                            <w:rFonts w:ascii="Helvetica" w:eastAsia="Times New Roman" w:hAnsi="Helvetica" w:cs="Helvetica"/>
                            <w:color w:val="403F42"/>
                            <w:sz w:val="24"/>
                            <w:szCs w:val="24"/>
                          </w:rPr>
                          <w:t>Last week, </w:t>
                        </w:r>
                        <w:proofErr w:type="spellStart"/>
                        <w:r w:rsidRPr="003A5303">
                          <w:rPr>
                            <w:rFonts w:ascii="Helvetica" w:eastAsia="Times New Roman" w:hAnsi="Helvetica" w:cs="Helvetica"/>
                            <w:i/>
                            <w:iCs/>
                            <w:color w:val="403F42"/>
                            <w:sz w:val="24"/>
                            <w:szCs w:val="24"/>
                          </w:rPr>
                          <w:t>ProPublica</w:t>
                        </w:r>
                        <w:proofErr w:type="spellEnd"/>
                        <w:r w:rsidRPr="003A5303">
                          <w:rPr>
                            <w:rFonts w:ascii="Helvetica" w:eastAsia="Times New Roman" w:hAnsi="Helvetica" w:cs="Helvetica"/>
                            <w:i/>
                            <w:iCs/>
                            <w:color w:val="403F42"/>
                            <w:sz w:val="24"/>
                            <w:szCs w:val="24"/>
                          </w:rPr>
                          <w:t> </w:t>
                        </w:r>
                        <w:hyperlink r:id="rId7" w:tgtFrame="_blank" w:history="1">
                          <w:r w:rsidRPr="00CB3DF4">
                            <w:rPr>
                              <w:rFonts w:ascii="Helvetica" w:eastAsia="Times New Roman" w:hAnsi="Helvetica" w:cs="Helvetica"/>
                              <w:b/>
                              <w:bCs/>
                              <w:sz w:val="24"/>
                              <w:szCs w:val="24"/>
                              <w:u w:val="single"/>
                            </w:rPr>
                            <w:t>launched a new tool</w:t>
                          </w:r>
                        </w:hyperlink>
                        <w:r w:rsidRPr="003A5303">
                          <w:rPr>
                            <w:rFonts w:ascii="Helvetica" w:eastAsia="Times New Roman" w:hAnsi="Helvetica" w:cs="Helvetica"/>
                            <w:color w:val="403F42"/>
                            <w:sz w:val="24"/>
                            <w:szCs w:val="24"/>
                          </w:rPr>
                          <w:t> mapping the number of rent stabilized apartments with preferential rents by zip code, throughout New York City. The results are eye-opening. Almost a third of all rent stabilized apartments in New York currently have preferential rents: over 250,000 units citywide. </w:t>
                        </w:r>
                        <w:r w:rsidRPr="003A5303">
                          <w:rPr>
                            <w:rFonts w:ascii="Helvetica" w:eastAsia="Times New Roman" w:hAnsi="Helvetica" w:cs="Helvetica"/>
                            <w:b/>
                            <w:bCs/>
                            <w:color w:val="403F42"/>
                            <w:sz w:val="24"/>
                            <w:szCs w:val="24"/>
                          </w:rPr>
                          <w:t>That's over 250,000 households that do not truly enjoy the protections of rent stabilization. That's over 250,000 households that are at risk of displacement, especially in low-income communities.</w:t>
                        </w:r>
                      </w:p>
                      <w:p w:rsidR="006431B7" w:rsidRDefault="006431B7" w:rsidP="00B303D2">
                        <w:pPr>
                          <w:spacing w:after="0" w:line="230" w:lineRule="atLeast"/>
                          <w:ind w:left="-301" w:right="212"/>
                          <w:rPr>
                            <w:rFonts w:ascii="Helvetica" w:eastAsia="Times New Roman" w:hAnsi="Helvetica" w:cs="Helvetica"/>
                            <w:color w:val="403F42"/>
                            <w:sz w:val="24"/>
                            <w:szCs w:val="24"/>
                          </w:rPr>
                        </w:pPr>
                      </w:p>
                      <w:p w:rsidR="00B303D2" w:rsidRPr="003A5303" w:rsidRDefault="00B303D2" w:rsidP="00B303D2">
                        <w:pPr>
                          <w:spacing w:after="0" w:line="230" w:lineRule="atLeast"/>
                          <w:ind w:left="-301" w:right="212"/>
                          <w:rPr>
                            <w:rFonts w:ascii="Helvetica" w:eastAsia="Times New Roman" w:hAnsi="Helvetica" w:cs="Helvetica"/>
                            <w:color w:val="403F42"/>
                            <w:sz w:val="24"/>
                            <w:szCs w:val="24"/>
                          </w:rPr>
                        </w:pPr>
                        <w:r w:rsidRPr="003A5303">
                          <w:rPr>
                            <w:rFonts w:ascii="Helvetica" w:eastAsia="Times New Roman" w:hAnsi="Helvetica" w:cs="Helvetica"/>
                            <w:color w:val="403F42"/>
                            <w:sz w:val="24"/>
                            <w:szCs w:val="24"/>
                          </w:rPr>
                          <w:t>The use of preferential rents directly undercuts the protection and stability rent stabilization is intended to provide, leaving tenants vulnerable to large rent increases at every lease renewal, regardless of the rates permitted by the Rent Guidelines Board.  Especially troublesome is the prevalence of preferential rents in some of the city's poorest neighborhoods. </w:t>
                        </w:r>
                        <w:r w:rsidRPr="003A5303">
                          <w:rPr>
                            <w:rFonts w:ascii="Helvetica" w:eastAsia="Times New Roman" w:hAnsi="Helvetica" w:cs="Helvetica"/>
                            <w:b/>
                            <w:bCs/>
                            <w:color w:val="403F42"/>
                            <w:sz w:val="24"/>
                            <w:szCs w:val="24"/>
                          </w:rPr>
                          <w:t>Six of the ten New York City zip codes with the most preferential rents are in the Bronx, with poverty rates in those areas ranging from 30 to 43 percent - a population that cannot afford a big rent increase.</w:t>
                        </w:r>
                      </w:p>
                      <w:p w:rsidR="00B303D2" w:rsidRPr="003A5303" w:rsidRDefault="00B303D2" w:rsidP="00B303D2">
                        <w:pPr>
                          <w:spacing w:after="0" w:line="240" w:lineRule="auto"/>
                          <w:ind w:left="-301" w:right="212"/>
                          <w:rPr>
                            <w:rFonts w:ascii="Helvetica" w:eastAsia="Times New Roman" w:hAnsi="Helvetica" w:cs="Helvetica"/>
                            <w:color w:val="403F42"/>
                            <w:sz w:val="24"/>
                            <w:szCs w:val="24"/>
                          </w:rPr>
                        </w:pPr>
                        <w:r w:rsidRPr="003A5303">
                          <w:rPr>
                            <w:rFonts w:ascii="Helvetica" w:eastAsia="Times New Roman" w:hAnsi="Helvetica" w:cs="Helvetica"/>
                            <w:color w:val="403F42"/>
                            <w:sz w:val="24"/>
                            <w:szCs w:val="24"/>
                          </w:rPr>
                          <w:t> </w:t>
                        </w:r>
                      </w:p>
                      <w:p w:rsidR="00B303D2" w:rsidRDefault="00B303D2" w:rsidP="00B303D2">
                        <w:pPr>
                          <w:spacing w:after="0" w:line="240" w:lineRule="auto"/>
                          <w:ind w:left="-301" w:right="212"/>
                          <w:rPr>
                            <w:rFonts w:ascii="Helvetica" w:eastAsia="Times New Roman" w:hAnsi="Helvetica" w:cs="Helvetica"/>
                            <w:b/>
                            <w:bCs/>
                            <w:color w:val="403F42"/>
                            <w:sz w:val="24"/>
                            <w:szCs w:val="24"/>
                          </w:rPr>
                        </w:pPr>
                        <w:r w:rsidRPr="003A5303">
                          <w:rPr>
                            <w:rFonts w:ascii="Helvetica" w:eastAsia="Times New Roman" w:hAnsi="Helvetica" w:cs="Helvetica"/>
                            <w:color w:val="403F42"/>
                            <w:sz w:val="24"/>
                            <w:szCs w:val="24"/>
                          </w:rPr>
                          <w:t xml:space="preserve">Of equal concern is the fact that many of these neighborhoods with high numbers of preferential rents are in areas where the de Blasio administration has proposed large-scale </w:t>
                        </w:r>
                        <w:proofErr w:type="spellStart"/>
                        <w:r w:rsidRPr="003A5303">
                          <w:rPr>
                            <w:rFonts w:ascii="Helvetica" w:eastAsia="Times New Roman" w:hAnsi="Helvetica" w:cs="Helvetica"/>
                            <w:color w:val="403F42"/>
                            <w:sz w:val="24"/>
                            <w:szCs w:val="24"/>
                          </w:rPr>
                          <w:t>rezonings</w:t>
                        </w:r>
                        <w:proofErr w:type="spellEnd"/>
                        <w:r w:rsidRPr="003A5303">
                          <w:rPr>
                            <w:rFonts w:ascii="Helvetica" w:eastAsia="Times New Roman" w:hAnsi="Helvetica" w:cs="Helvetica"/>
                            <w:color w:val="403F42"/>
                            <w:sz w:val="24"/>
                            <w:szCs w:val="24"/>
                          </w:rPr>
                          <w:t>, further exacerbating the risk of displacement. This is a risk the City does not adequately address. </w:t>
                        </w:r>
                        <w:r w:rsidRPr="003A5303">
                          <w:rPr>
                            <w:rFonts w:ascii="Helvetica" w:eastAsia="Times New Roman" w:hAnsi="Helvetica" w:cs="Helvetica"/>
                            <w:b/>
                            <w:bCs/>
                            <w:color w:val="403F42"/>
                            <w:sz w:val="24"/>
                            <w:szCs w:val="24"/>
                          </w:rPr>
                          <w:t>The city is mandated to consider how a rezoning could impact current residents, including potential displacement. And yet, when considering displacement risks, the City excludes rent stabilized tenants from their analysis, under the erroneous assumption that their tenancy is secure. </w:t>
                        </w:r>
                      </w:p>
                      <w:p w:rsidR="00B303D2" w:rsidRPr="003A5303" w:rsidRDefault="00B303D2" w:rsidP="00B303D2">
                        <w:pPr>
                          <w:spacing w:after="0" w:line="240" w:lineRule="auto"/>
                          <w:ind w:left="-301" w:right="212"/>
                          <w:rPr>
                            <w:rFonts w:ascii="Helvetica" w:eastAsia="Times New Roman" w:hAnsi="Helvetica" w:cs="Helvetica"/>
                            <w:color w:val="403F42"/>
                            <w:sz w:val="24"/>
                            <w:szCs w:val="24"/>
                          </w:rPr>
                        </w:pPr>
                        <w:r w:rsidRPr="003A5303">
                          <w:rPr>
                            <w:rFonts w:ascii="Helvetica" w:eastAsia="Times New Roman" w:hAnsi="Helvetica" w:cs="Helvetica"/>
                            <w:color w:val="403F42"/>
                            <w:sz w:val="24"/>
                            <w:szCs w:val="24"/>
                          </w:rPr>
                          <w:t>The prevalence of apartments with preferential rents shows just how wrong this is.</w:t>
                        </w:r>
                      </w:p>
                      <w:p w:rsidR="00B303D2" w:rsidRPr="003A5303" w:rsidRDefault="00B303D2" w:rsidP="00B303D2">
                        <w:pPr>
                          <w:spacing w:after="0" w:line="240" w:lineRule="auto"/>
                          <w:ind w:left="-301" w:right="212"/>
                          <w:rPr>
                            <w:rFonts w:ascii="Helvetica" w:eastAsia="Times New Roman" w:hAnsi="Helvetica" w:cs="Helvetica"/>
                            <w:color w:val="403F42"/>
                            <w:sz w:val="24"/>
                            <w:szCs w:val="24"/>
                          </w:rPr>
                        </w:pPr>
                      </w:p>
                      <w:p w:rsidR="00B303D2" w:rsidRDefault="00B303D2" w:rsidP="00B303D2">
                        <w:pPr>
                          <w:spacing w:after="0" w:line="240" w:lineRule="auto"/>
                          <w:ind w:left="-301" w:right="212"/>
                          <w:rPr>
                            <w:rFonts w:ascii="Helvetica" w:eastAsia="Times New Roman" w:hAnsi="Helvetica" w:cs="Helvetica"/>
                            <w:b/>
                            <w:bCs/>
                            <w:color w:val="403F42"/>
                            <w:sz w:val="24"/>
                            <w:szCs w:val="24"/>
                          </w:rPr>
                        </w:pPr>
                        <w:r w:rsidRPr="003A5303">
                          <w:rPr>
                            <w:rFonts w:ascii="Helvetica" w:eastAsia="Times New Roman" w:hAnsi="Helvetica" w:cs="Helvetica"/>
                            <w:color w:val="403F42"/>
                            <w:sz w:val="24"/>
                            <w:szCs w:val="24"/>
                          </w:rPr>
                          <w:t>Take East Harlem as an example, which is currently going through ULURP for a neighborhood rezoning. In its Draft Environmental Impact Statement, the City found no adverse impacts due to secondary displacement. But again, the City did not consider rent stabilized tenants in their analysis. </w:t>
                        </w:r>
                        <w:r w:rsidRPr="003A5303">
                          <w:rPr>
                            <w:rFonts w:ascii="Helvetica" w:eastAsia="Times New Roman" w:hAnsi="Helvetica" w:cs="Helvetica"/>
                            <w:b/>
                            <w:bCs/>
                            <w:color w:val="403F42"/>
                            <w:sz w:val="24"/>
                            <w:szCs w:val="24"/>
                          </w:rPr>
                          <w:t>According to </w:t>
                        </w:r>
                        <w:proofErr w:type="spellStart"/>
                        <w:r w:rsidRPr="003A5303">
                          <w:rPr>
                            <w:rFonts w:ascii="Helvetica" w:eastAsia="Times New Roman" w:hAnsi="Helvetica" w:cs="Helvetica"/>
                            <w:b/>
                            <w:bCs/>
                            <w:i/>
                            <w:iCs/>
                            <w:color w:val="403F42"/>
                            <w:sz w:val="24"/>
                            <w:szCs w:val="24"/>
                          </w:rPr>
                          <w:t>ProPublica</w:t>
                        </w:r>
                        <w:proofErr w:type="spellEnd"/>
                        <w:r w:rsidRPr="003A5303">
                          <w:rPr>
                            <w:rFonts w:ascii="Helvetica" w:eastAsia="Times New Roman" w:hAnsi="Helvetica" w:cs="Helvetica"/>
                            <w:b/>
                            <w:bCs/>
                            <w:color w:val="403F42"/>
                            <w:sz w:val="24"/>
                            <w:szCs w:val="24"/>
                          </w:rPr>
                          <w:t xml:space="preserve"> there are close to 5,000 apartments with preferential rents in the two zip codes that include East Harlem. This means almost 5,000 families are not subject </w:t>
                        </w:r>
                      </w:p>
                      <w:p w:rsidR="00B303D2" w:rsidRPr="003A5303" w:rsidRDefault="00B303D2" w:rsidP="00B303D2">
                        <w:pPr>
                          <w:spacing w:after="0" w:line="240" w:lineRule="auto"/>
                          <w:ind w:left="-301" w:right="212"/>
                          <w:rPr>
                            <w:rFonts w:ascii="Helvetica" w:eastAsia="Times New Roman" w:hAnsi="Helvetica" w:cs="Helvetica"/>
                            <w:color w:val="403F42"/>
                            <w:sz w:val="24"/>
                            <w:szCs w:val="24"/>
                          </w:rPr>
                        </w:pPr>
                        <w:r w:rsidRPr="003A5303">
                          <w:rPr>
                            <w:rFonts w:ascii="Helvetica" w:eastAsia="Times New Roman" w:hAnsi="Helvetica" w:cs="Helvetica"/>
                            <w:b/>
                            <w:bCs/>
                            <w:color w:val="403F42"/>
                            <w:sz w:val="24"/>
                            <w:szCs w:val="24"/>
                          </w:rPr>
                          <w:t xml:space="preserve">to the limits on a rent increase that rent stabilized tenants depend </w:t>
                        </w:r>
                        <w:proofErr w:type="spellStart"/>
                        <w:proofErr w:type="gramStart"/>
                        <w:r w:rsidRPr="003A5303">
                          <w:rPr>
                            <w:rFonts w:ascii="Helvetica" w:eastAsia="Times New Roman" w:hAnsi="Helvetica" w:cs="Helvetica"/>
                            <w:b/>
                            <w:bCs/>
                            <w:color w:val="403F42"/>
                            <w:sz w:val="24"/>
                            <w:szCs w:val="24"/>
                          </w:rPr>
                          <w:t>on.How</w:t>
                        </w:r>
                        <w:proofErr w:type="spellEnd"/>
                        <w:proofErr w:type="gramEnd"/>
                        <w:r w:rsidRPr="003A5303">
                          <w:rPr>
                            <w:rFonts w:ascii="Helvetica" w:eastAsia="Times New Roman" w:hAnsi="Helvetica" w:cs="Helvetica"/>
                            <w:b/>
                            <w:bCs/>
                            <w:color w:val="403F42"/>
                            <w:sz w:val="24"/>
                            <w:szCs w:val="24"/>
                          </w:rPr>
                          <w:t xml:space="preserve"> can these 5,000 families be considered secure in their apartment then, or free from displacement risk?</w:t>
                        </w:r>
                        <w:r w:rsidRPr="003A5303">
                          <w:rPr>
                            <w:rFonts w:ascii="Helvetica" w:eastAsia="Times New Roman" w:hAnsi="Helvetica" w:cs="Helvetica"/>
                            <w:color w:val="403F42"/>
                            <w:sz w:val="24"/>
                            <w:szCs w:val="24"/>
                          </w:rPr>
                          <w:t> As land values and rents increase following the rezoning, there's nothing to stop a landlord from raising the rent to a level that might force a tenant out.</w:t>
                        </w:r>
                      </w:p>
                      <w:p w:rsidR="00B303D2" w:rsidRDefault="00B303D2" w:rsidP="00B303D2">
                        <w:pPr>
                          <w:spacing w:after="0" w:line="240" w:lineRule="auto"/>
                          <w:ind w:left="-301" w:right="212"/>
                          <w:rPr>
                            <w:rFonts w:ascii="Helvetica" w:eastAsia="Times New Roman" w:hAnsi="Helvetica" w:cs="Helvetica"/>
                            <w:b/>
                            <w:bCs/>
                            <w:color w:val="403F42"/>
                            <w:sz w:val="24"/>
                            <w:szCs w:val="24"/>
                          </w:rPr>
                        </w:pPr>
                        <w:r w:rsidRPr="003A5303">
                          <w:rPr>
                            <w:rFonts w:ascii="Helvetica" w:eastAsia="Times New Roman" w:hAnsi="Helvetica" w:cs="Helvetica"/>
                            <w:color w:val="403F42"/>
                            <w:sz w:val="24"/>
                            <w:szCs w:val="24"/>
                          </w:rPr>
                          <w:br/>
                        </w:r>
                        <w:r>
                          <w:rPr>
                            <w:rFonts w:ascii="Helvetica" w:eastAsia="Times New Roman" w:hAnsi="Helvetica" w:cs="Helvetica"/>
                            <w:b/>
                            <w:bCs/>
                            <w:color w:val="403F42"/>
                            <w:sz w:val="24"/>
                            <w:szCs w:val="24"/>
                          </w:rPr>
                          <w:t>These are</w:t>
                        </w:r>
                        <w:r w:rsidRPr="003A5303">
                          <w:rPr>
                            <w:rFonts w:ascii="Helvetica" w:eastAsia="Times New Roman" w:hAnsi="Helvetica" w:cs="Helvetica"/>
                            <w:b/>
                            <w:bCs/>
                            <w:color w:val="403F42"/>
                            <w:sz w:val="24"/>
                            <w:szCs w:val="24"/>
                          </w:rPr>
                          <w:t xml:space="preserve"> not the only households at ris</w:t>
                        </w:r>
                        <w:r>
                          <w:rPr>
                            <w:rFonts w:ascii="Helvetica" w:eastAsia="Times New Roman" w:hAnsi="Helvetica" w:cs="Helvetica"/>
                            <w:b/>
                            <w:bCs/>
                            <w:color w:val="403F42"/>
                            <w:sz w:val="24"/>
                            <w:szCs w:val="24"/>
                          </w:rPr>
                          <w:t>k of displacement in this</w:t>
                        </w:r>
                        <w:r w:rsidRPr="003A5303">
                          <w:rPr>
                            <w:rFonts w:ascii="Helvetica" w:eastAsia="Times New Roman" w:hAnsi="Helvetica" w:cs="Helvetica"/>
                            <w:b/>
                            <w:bCs/>
                            <w:color w:val="403F42"/>
                            <w:sz w:val="24"/>
                            <w:szCs w:val="24"/>
                          </w:rPr>
                          <w:t xml:space="preserve"> rezon</w:t>
                        </w:r>
                        <w:r>
                          <w:rPr>
                            <w:rFonts w:ascii="Helvetica" w:eastAsia="Times New Roman" w:hAnsi="Helvetica" w:cs="Helvetica"/>
                            <w:b/>
                            <w:bCs/>
                            <w:color w:val="403F42"/>
                            <w:sz w:val="24"/>
                            <w:szCs w:val="24"/>
                          </w:rPr>
                          <w:t xml:space="preserve">ing neighborhood.  </w:t>
                        </w:r>
                      </w:p>
                      <w:p w:rsidR="00B303D2" w:rsidRPr="003A5303" w:rsidRDefault="00B303D2" w:rsidP="00B303D2">
                        <w:pPr>
                          <w:spacing w:after="0" w:line="240" w:lineRule="auto"/>
                          <w:ind w:left="-301" w:right="212"/>
                          <w:rPr>
                            <w:rFonts w:ascii="Helvetica" w:eastAsia="Times New Roman" w:hAnsi="Helvetica" w:cs="Helvetica"/>
                            <w:color w:val="403F42"/>
                            <w:sz w:val="24"/>
                            <w:szCs w:val="24"/>
                          </w:rPr>
                        </w:pPr>
                        <w:r w:rsidRPr="003A5303">
                          <w:rPr>
                            <w:rFonts w:ascii="Helvetica" w:eastAsia="Times New Roman" w:hAnsi="Helvetica" w:cs="Helvetica"/>
                            <w:b/>
                            <w:bCs/>
                            <w:color w:val="403F42"/>
                            <w:sz w:val="24"/>
                            <w:szCs w:val="24"/>
                          </w:rPr>
                          <w:t>But these are households we know </w:t>
                        </w:r>
                        <w:r w:rsidRPr="003A5303">
                          <w:rPr>
                            <w:rFonts w:ascii="Helvetica" w:eastAsia="Times New Roman" w:hAnsi="Helvetica" w:cs="Helvetica"/>
                            <w:b/>
                            <w:bCs/>
                            <w:i/>
                            <w:iCs/>
                            <w:color w:val="403F42"/>
                            <w:sz w:val="24"/>
                            <w:szCs w:val="24"/>
                          </w:rPr>
                          <w:t>are</w:t>
                        </w:r>
                        <w:r w:rsidRPr="003A5303">
                          <w:rPr>
                            <w:rFonts w:ascii="Helvetica" w:eastAsia="Times New Roman" w:hAnsi="Helvetica" w:cs="Helvetica"/>
                            <w:b/>
                            <w:bCs/>
                            <w:color w:val="403F42"/>
                            <w:sz w:val="24"/>
                            <w:szCs w:val="24"/>
                          </w:rPr>
                          <w:t> at risk </w:t>
                        </w:r>
                        <w:r w:rsidRPr="003A5303">
                          <w:rPr>
                            <w:rFonts w:ascii="Helvetica" w:eastAsia="Times New Roman" w:hAnsi="Helvetica" w:cs="Helvetica"/>
                            <w:b/>
                            <w:bCs/>
                            <w:i/>
                            <w:iCs/>
                            <w:color w:val="403F42"/>
                            <w:sz w:val="24"/>
                            <w:szCs w:val="24"/>
                          </w:rPr>
                          <w:t>just </w:t>
                        </w:r>
                        <w:r w:rsidRPr="003A5303">
                          <w:rPr>
                            <w:rFonts w:ascii="Helvetica" w:eastAsia="Times New Roman" w:hAnsi="Helvetica" w:cs="Helvetica"/>
                            <w:b/>
                            <w:bCs/>
                            <w:color w:val="403F42"/>
                            <w:sz w:val="24"/>
                            <w:szCs w:val="24"/>
                          </w:rPr>
                          <w:t>from preferential rents alone.</w:t>
                        </w:r>
                      </w:p>
                      <w:p w:rsidR="00B303D2" w:rsidRPr="003A5303" w:rsidRDefault="00B303D2" w:rsidP="00B303D2">
                        <w:pPr>
                          <w:spacing w:after="0" w:line="240" w:lineRule="auto"/>
                          <w:ind w:left="-301" w:right="212"/>
                          <w:rPr>
                            <w:rFonts w:ascii="Helvetica" w:eastAsia="Times New Roman" w:hAnsi="Helvetica" w:cs="Helvetica"/>
                            <w:color w:val="403F42"/>
                            <w:sz w:val="24"/>
                            <w:szCs w:val="24"/>
                          </w:rPr>
                        </w:pPr>
                      </w:p>
                      <w:p w:rsidR="00B303D2" w:rsidRPr="003A5303" w:rsidRDefault="00B303D2" w:rsidP="00B303D2">
                        <w:pPr>
                          <w:shd w:val="clear" w:color="auto" w:fill="FFFFFF"/>
                          <w:spacing w:after="0" w:line="240" w:lineRule="auto"/>
                          <w:ind w:left="-301" w:right="212"/>
                          <w:rPr>
                            <w:rFonts w:ascii="Helvetica" w:eastAsia="Times New Roman" w:hAnsi="Helvetica" w:cs="Helvetica"/>
                            <w:color w:val="403F42"/>
                            <w:sz w:val="20"/>
                            <w:szCs w:val="20"/>
                          </w:rPr>
                        </w:pPr>
                        <w:hyperlink r:id="rId8" w:tgtFrame="_blank" w:history="1">
                          <w:r w:rsidRPr="003A5303">
                            <w:rPr>
                              <w:rFonts w:ascii="Helvetica" w:eastAsia="Times New Roman" w:hAnsi="Helvetica" w:cs="Helvetica"/>
                              <w:b/>
                              <w:bCs/>
                              <w:color w:val="F29428"/>
                              <w:sz w:val="24"/>
                              <w:szCs w:val="24"/>
                              <w:u w:val="single"/>
                            </w:rPr>
                            <w:t>Christopher Walters</w:t>
                          </w:r>
                        </w:hyperlink>
                        <w:r w:rsidRPr="003A5303">
                          <w:rPr>
                            <w:rFonts w:ascii="Helvetica" w:eastAsia="Times New Roman" w:hAnsi="Helvetica" w:cs="Helvetica"/>
                            <w:color w:val="403F42"/>
                            <w:sz w:val="24"/>
                            <w:szCs w:val="24"/>
                          </w:rPr>
                          <w:t>, ANHD's </w:t>
                        </w:r>
                        <w:r w:rsidRPr="003A5303">
                          <w:rPr>
                            <w:rFonts w:ascii="Helvetica" w:eastAsia="Times New Roman" w:hAnsi="Helvetica" w:cs="Helvetica"/>
                            <w:color w:val="403F42"/>
                            <w:sz w:val="24"/>
                            <w:szCs w:val="24"/>
                            <w:shd w:val="clear" w:color="auto" w:fill="FFFFFF"/>
                          </w:rPr>
                          <w:t>Rezoning Technical Assistance Coordinator</w:t>
                        </w:r>
                        <w:r>
                          <w:rPr>
                            <w:rFonts w:ascii="Helvetica" w:eastAsia="Times New Roman" w:hAnsi="Helvetica" w:cs="Helvetica"/>
                            <w:color w:val="403F42"/>
                            <w:sz w:val="24"/>
                            <w:szCs w:val="24"/>
                            <w:shd w:val="clear" w:color="auto" w:fill="FFFFFF"/>
                          </w:rPr>
                          <w:t>- June 29, 2017</w:t>
                        </w:r>
                      </w:p>
                    </w:tc>
                  </w:tr>
                </w:tbl>
                <w:p w:rsidR="00B303D2" w:rsidRPr="00B303D2" w:rsidRDefault="00B303D2" w:rsidP="00B303D2">
                  <w:pPr>
                    <w:spacing w:after="0" w:line="240" w:lineRule="auto"/>
                    <w:jc w:val="center"/>
                    <w:rPr>
                      <w:rFonts w:ascii="Helvetica" w:eastAsia="Times New Roman" w:hAnsi="Helvetica" w:cs="Helvetica"/>
                      <w:b/>
                      <w:bCs/>
                      <w:color w:val="F7941D"/>
                      <w:sz w:val="32"/>
                      <w:szCs w:val="32"/>
                    </w:rPr>
                  </w:pPr>
                  <w:bookmarkStart w:id="0" w:name="_GoBack"/>
                  <w:r w:rsidRPr="00B303D2">
                    <w:rPr>
                      <w:rFonts w:ascii="Helvetica" w:eastAsia="Times New Roman" w:hAnsi="Helvetica" w:cs="Helvetica"/>
                      <w:b/>
                      <w:bCs/>
                      <w:sz w:val="32"/>
                      <w:szCs w:val="32"/>
                    </w:rPr>
                    <w:t>New Map of Preferential Rents Shows the Displacement Risk for Rezoning</w:t>
                  </w:r>
                  <w:bookmarkEnd w:id="0"/>
                  <w:r w:rsidRPr="00B303D2">
                    <w:rPr>
                      <w:rFonts w:ascii="Helvetica" w:eastAsia="Times New Roman" w:hAnsi="Helvetica" w:cs="Helvetica"/>
                      <w:b/>
                      <w:bCs/>
                      <w:sz w:val="32"/>
                      <w:szCs w:val="32"/>
                    </w:rPr>
                    <w:t xml:space="preserve"> Neighborhoods and </w:t>
                  </w:r>
                  <w:proofErr w:type="gramStart"/>
                  <w:r w:rsidRPr="00B303D2">
                    <w:rPr>
                      <w:rFonts w:ascii="Helvetica" w:eastAsia="Times New Roman" w:hAnsi="Helvetica" w:cs="Helvetica"/>
                      <w:b/>
                      <w:bCs/>
                      <w:sz w:val="32"/>
                      <w:szCs w:val="32"/>
                    </w:rPr>
                    <w:t>Low Income</w:t>
                  </w:r>
                  <w:proofErr w:type="gramEnd"/>
                  <w:r w:rsidRPr="00B303D2">
                    <w:rPr>
                      <w:rFonts w:ascii="Helvetica" w:eastAsia="Times New Roman" w:hAnsi="Helvetica" w:cs="Helvetica"/>
                      <w:b/>
                      <w:bCs/>
                      <w:sz w:val="32"/>
                      <w:szCs w:val="32"/>
                    </w:rPr>
                    <w:t xml:space="preserve"> Communities City-wide</w:t>
                  </w:r>
                </w:p>
              </w:tc>
            </w:tr>
          </w:tbl>
          <w:p w:rsidR="003A5303" w:rsidRPr="00160BD9" w:rsidRDefault="00160BD9" w:rsidP="00160BD9">
            <w:pPr>
              <w:spacing w:after="0" w:line="240" w:lineRule="auto"/>
              <w:jc w:val="center"/>
              <w:rPr>
                <w:rFonts w:ascii="Berlin Sans FB" w:eastAsia="Times New Roman" w:hAnsi="Berlin Sans FB" w:cs="Times New Roman"/>
                <w:sz w:val="28"/>
                <w:szCs w:val="28"/>
                <w:lang w:val="es-US"/>
              </w:rPr>
            </w:pPr>
            <w:r w:rsidRPr="00363241">
              <w:rPr>
                <w:rFonts w:ascii="Berlin Sans FB" w:eastAsia="Times New Roman" w:hAnsi="Berlin Sans FB" w:cs="Times New Roman"/>
                <w:sz w:val="28"/>
                <w:szCs w:val="28"/>
                <w:lang w:val="es-US"/>
              </w:rPr>
              <w:t>info@ElBarrioUnite.org/</w:t>
            </w:r>
            <w:r>
              <w:rPr>
                <w:rFonts w:ascii="Berlin Sans FB" w:eastAsia="Times New Roman" w:hAnsi="Berlin Sans FB" w:cs="Times New Roman"/>
                <w:sz w:val="28"/>
                <w:szCs w:val="28"/>
                <w:lang w:val="es-US"/>
              </w:rPr>
              <w:t xml:space="preserve"> (212) 427-0555</w:t>
            </w:r>
          </w:p>
        </w:tc>
      </w:tr>
    </w:tbl>
    <w:p w:rsidR="003A5303" w:rsidRPr="003A5303" w:rsidRDefault="003A5303" w:rsidP="003A5303">
      <w:pPr>
        <w:spacing w:after="0" w:line="240" w:lineRule="auto"/>
        <w:rPr>
          <w:rFonts w:ascii="Times New Roman" w:eastAsia="Times New Roman" w:hAnsi="Times New Roman" w:cs="Times New Roman"/>
          <w:vanish/>
          <w:sz w:val="24"/>
          <w:szCs w:val="24"/>
        </w:rPr>
      </w:pPr>
    </w:p>
    <w:p w:rsidR="003A5303" w:rsidRPr="003A5303" w:rsidRDefault="003A5303" w:rsidP="003A5303">
      <w:pPr>
        <w:spacing w:after="0" w:line="240" w:lineRule="auto"/>
        <w:rPr>
          <w:rFonts w:ascii="Times New Roman" w:eastAsia="Times New Roman" w:hAnsi="Times New Roman" w:cs="Times New Roman"/>
          <w:vanish/>
          <w:sz w:val="24"/>
          <w:szCs w:val="24"/>
        </w:rPr>
      </w:pPr>
    </w:p>
    <w:p w:rsidR="003A5303" w:rsidRPr="003A5303" w:rsidRDefault="003A5303" w:rsidP="003A5303">
      <w:pPr>
        <w:spacing w:after="0" w:line="240" w:lineRule="auto"/>
        <w:rPr>
          <w:rFonts w:ascii="Times New Roman" w:eastAsia="Times New Roman" w:hAnsi="Times New Roman" w:cs="Times New Roman"/>
          <w:vanish/>
          <w:sz w:val="24"/>
          <w:szCs w:val="24"/>
        </w:rPr>
      </w:pPr>
    </w:p>
    <w:p w:rsidR="005301ED" w:rsidRDefault="005301ED" w:rsidP="00B303D2"/>
    <w:sectPr w:rsidR="005301ED" w:rsidSect="003A5303">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03"/>
    <w:rsid w:val="00160BD9"/>
    <w:rsid w:val="003A5303"/>
    <w:rsid w:val="005301ED"/>
    <w:rsid w:val="006431B7"/>
    <w:rsid w:val="00B303D2"/>
    <w:rsid w:val="00CB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0E9B"/>
  <w15:docId w15:val="{6627BAE5-906A-4403-94A0-59A418AC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3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686301">
      <w:bodyDiv w:val="1"/>
      <w:marLeft w:val="0"/>
      <w:marRight w:val="0"/>
      <w:marTop w:val="0"/>
      <w:marBottom w:val="0"/>
      <w:divBdr>
        <w:top w:val="none" w:sz="0" w:space="0" w:color="auto"/>
        <w:left w:val="none" w:sz="0" w:space="0" w:color="auto"/>
        <w:bottom w:val="none" w:sz="0" w:space="0" w:color="auto"/>
        <w:right w:val="none" w:sz="0" w:space="0" w:color="auto"/>
      </w:divBdr>
      <w:divsChild>
        <w:div w:id="712341958">
          <w:marLeft w:val="0"/>
          <w:marRight w:val="0"/>
          <w:marTop w:val="0"/>
          <w:marBottom w:val="0"/>
          <w:divBdr>
            <w:top w:val="none" w:sz="0" w:space="0" w:color="auto"/>
            <w:left w:val="none" w:sz="0" w:space="0" w:color="auto"/>
            <w:bottom w:val="none" w:sz="0" w:space="0" w:color="auto"/>
            <w:right w:val="none" w:sz="0" w:space="0" w:color="auto"/>
          </w:divBdr>
          <w:divsChild>
            <w:div w:id="619261146">
              <w:marLeft w:val="0"/>
              <w:marRight w:val="0"/>
              <w:marTop w:val="0"/>
              <w:marBottom w:val="0"/>
              <w:divBdr>
                <w:top w:val="none" w:sz="0" w:space="0" w:color="auto"/>
                <w:left w:val="none" w:sz="0" w:space="0" w:color="auto"/>
                <w:bottom w:val="none" w:sz="0" w:space="0" w:color="auto"/>
                <w:right w:val="none" w:sz="0" w:space="0" w:color="auto"/>
              </w:divBdr>
            </w:div>
          </w:divsChild>
        </w:div>
        <w:div w:id="1747537022">
          <w:marLeft w:val="0"/>
          <w:marRight w:val="0"/>
          <w:marTop w:val="0"/>
          <w:marBottom w:val="0"/>
          <w:divBdr>
            <w:top w:val="none" w:sz="0" w:space="0" w:color="auto"/>
            <w:left w:val="none" w:sz="0" w:space="0" w:color="auto"/>
            <w:bottom w:val="none" w:sz="0" w:space="0" w:color="auto"/>
            <w:right w:val="none" w:sz="0" w:space="0" w:color="auto"/>
          </w:divBdr>
          <w:divsChild>
            <w:div w:id="740106311">
              <w:marLeft w:val="0"/>
              <w:marRight w:val="0"/>
              <w:marTop w:val="0"/>
              <w:marBottom w:val="0"/>
              <w:divBdr>
                <w:top w:val="none" w:sz="0" w:space="0" w:color="auto"/>
                <w:left w:val="none" w:sz="0" w:space="0" w:color="auto"/>
                <w:bottom w:val="none" w:sz="0" w:space="0" w:color="auto"/>
                <w:right w:val="none" w:sz="0" w:space="0" w:color="auto"/>
              </w:divBdr>
            </w:div>
          </w:divsChild>
        </w:div>
        <w:div w:id="1193493191">
          <w:marLeft w:val="0"/>
          <w:marRight w:val="0"/>
          <w:marTop w:val="0"/>
          <w:marBottom w:val="0"/>
          <w:divBdr>
            <w:top w:val="none" w:sz="0" w:space="0" w:color="auto"/>
            <w:left w:val="none" w:sz="0" w:space="0" w:color="auto"/>
            <w:bottom w:val="none" w:sz="0" w:space="0" w:color="auto"/>
            <w:right w:val="none" w:sz="0" w:space="0" w:color="auto"/>
          </w:divBdr>
          <w:divsChild>
            <w:div w:id="102771163">
              <w:marLeft w:val="0"/>
              <w:marRight w:val="0"/>
              <w:marTop w:val="0"/>
              <w:marBottom w:val="0"/>
              <w:divBdr>
                <w:top w:val="none" w:sz="0" w:space="0" w:color="auto"/>
                <w:left w:val="none" w:sz="0" w:space="0" w:color="auto"/>
                <w:bottom w:val="none" w:sz="0" w:space="0" w:color="auto"/>
                <w:right w:val="none" w:sz="0" w:space="0" w:color="auto"/>
              </w:divBdr>
              <w:divsChild>
                <w:div w:id="931201338">
                  <w:marLeft w:val="0"/>
                  <w:marRight w:val="0"/>
                  <w:marTop w:val="0"/>
                  <w:marBottom w:val="0"/>
                  <w:divBdr>
                    <w:top w:val="none" w:sz="0" w:space="0" w:color="auto"/>
                    <w:left w:val="none" w:sz="0" w:space="0" w:color="auto"/>
                    <w:bottom w:val="none" w:sz="0" w:space="0" w:color="auto"/>
                    <w:right w:val="none" w:sz="0" w:space="0" w:color="auto"/>
                  </w:divBdr>
                  <w:divsChild>
                    <w:div w:id="1377465313">
                      <w:marLeft w:val="0"/>
                      <w:marRight w:val="0"/>
                      <w:marTop w:val="0"/>
                      <w:marBottom w:val="0"/>
                      <w:divBdr>
                        <w:top w:val="none" w:sz="0" w:space="0" w:color="auto"/>
                        <w:left w:val="none" w:sz="0" w:space="0" w:color="auto"/>
                        <w:bottom w:val="none" w:sz="0" w:space="0" w:color="auto"/>
                        <w:right w:val="none" w:sz="0" w:space="0" w:color="auto"/>
                      </w:divBdr>
                      <w:divsChild>
                        <w:div w:id="1302035860">
                          <w:marLeft w:val="0"/>
                          <w:marRight w:val="0"/>
                          <w:marTop w:val="0"/>
                          <w:marBottom w:val="0"/>
                          <w:divBdr>
                            <w:top w:val="none" w:sz="0" w:space="0" w:color="auto"/>
                            <w:left w:val="none" w:sz="0" w:space="0" w:color="auto"/>
                            <w:bottom w:val="none" w:sz="0" w:space="0" w:color="auto"/>
                            <w:right w:val="none" w:sz="0" w:space="0" w:color="auto"/>
                          </w:divBdr>
                          <w:divsChild>
                            <w:div w:id="1547599836">
                              <w:marLeft w:val="0"/>
                              <w:marRight w:val="0"/>
                              <w:marTop w:val="0"/>
                              <w:marBottom w:val="0"/>
                              <w:divBdr>
                                <w:top w:val="none" w:sz="0" w:space="0" w:color="auto"/>
                                <w:left w:val="none" w:sz="0" w:space="0" w:color="auto"/>
                                <w:bottom w:val="none" w:sz="0" w:space="0" w:color="auto"/>
                                <w:right w:val="none" w:sz="0" w:space="0" w:color="auto"/>
                              </w:divBdr>
                              <w:divsChild>
                                <w:div w:id="119224383">
                                  <w:marLeft w:val="0"/>
                                  <w:marRight w:val="0"/>
                                  <w:marTop w:val="0"/>
                                  <w:marBottom w:val="0"/>
                                  <w:divBdr>
                                    <w:top w:val="none" w:sz="0" w:space="0" w:color="auto"/>
                                    <w:left w:val="none" w:sz="0" w:space="0" w:color="auto"/>
                                    <w:bottom w:val="none" w:sz="0" w:space="0" w:color="auto"/>
                                    <w:right w:val="none" w:sz="0" w:space="0" w:color="auto"/>
                                  </w:divBdr>
                                  <w:divsChild>
                                    <w:div w:id="31418479">
                                      <w:marLeft w:val="0"/>
                                      <w:marRight w:val="0"/>
                                      <w:marTop w:val="0"/>
                                      <w:marBottom w:val="0"/>
                                      <w:divBdr>
                                        <w:top w:val="none" w:sz="0" w:space="0" w:color="auto"/>
                                        <w:left w:val="none" w:sz="0" w:space="0" w:color="auto"/>
                                        <w:bottom w:val="none" w:sz="0" w:space="0" w:color="auto"/>
                                        <w:right w:val="none" w:sz="0" w:space="0" w:color="auto"/>
                                      </w:divBdr>
                                      <w:divsChild>
                                        <w:div w:id="1614745764">
                                          <w:marLeft w:val="0"/>
                                          <w:marRight w:val="0"/>
                                          <w:marTop w:val="0"/>
                                          <w:marBottom w:val="0"/>
                                          <w:divBdr>
                                            <w:top w:val="none" w:sz="0" w:space="0" w:color="auto"/>
                                            <w:left w:val="none" w:sz="0" w:space="0" w:color="auto"/>
                                            <w:bottom w:val="none" w:sz="0" w:space="0" w:color="auto"/>
                                            <w:right w:val="none" w:sz="0" w:space="0" w:color="auto"/>
                                          </w:divBdr>
                                          <w:divsChild>
                                            <w:div w:id="1871602067">
                                              <w:marLeft w:val="0"/>
                                              <w:marRight w:val="0"/>
                                              <w:marTop w:val="0"/>
                                              <w:marBottom w:val="0"/>
                                              <w:divBdr>
                                                <w:top w:val="none" w:sz="0" w:space="0" w:color="auto"/>
                                                <w:left w:val="none" w:sz="0" w:space="0" w:color="auto"/>
                                                <w:bottom w:val="none" w:sz="0" w:space="0" w:color="auto"/>
                                                <w:right w:val="none" w:sz="0" w:space="0" w:color="auto"/>
                                              </w:divBdr>
                                              <w:divsChild>
                                                <w:div w:id="1497572217">
                                                  <w:marLeft w:val="0"/>
                                                  <w:marRight w:val="0"/>
                                                  <w:marTop w:val="0"/>
                                                  <w:marBottom w:val="0"/>
                                                  <w:divBdr>
                                                    <w:top w:val="none" w:sz="0" w:space="0" w:color="auto"/>
                                                    <w:left w:val="none" w:sz="0" w:space="0" w:color="auto"/>
                                                    <w:bottom w:val="none" w:sz="0" w:space="0" w:color="auto"/>
                                                    <w:right w:val="none" w:sz="0" w:space="0" w:color="auto"/>
                                                  </w:divBdr>
                                                  <w:divsChild>
                                                    <w:div w:id="1670525574">
                                                      <w:marLeft w:val="0"/>
                                                      <w:marRight w:val="0"/>
                                                      <w:marTop w:val="0"/>
                                                      <w:marBottom w:val="0"/>
                                                      <w:divBdr>
                                                        <w:top w:val="none" w:sz="0" w:space="0" w:color="auto"/>
                                                        <w:left w:val="none" w:sz="0" w:space="0" w:color="auto"/>
                                                        <w:bottom w:val="none" w:sz="0" w:space="0" w:color="auto"/>
                                                        <w:right w:val="none" w:sz="0" w:space="0" w:color="auto"/>
                                                      </w:divBdr>
                                                      <w:divsChild>
                                                        <w:div w:id="1911309259">
                                                          <w:marLeft w:val="0"/>
                                                          <w:marRight w:val="0"/>
                                                          <w:marTop w:val="0"/>
                                                          <w:marBottom w:val="0"/>
                                                          <w:divBdr>
                                                            <w:top w:val="none" w:sz="0" w:space="0" w:color="auto"/>
                                                            <w:left w:val="none" w:sz="0" w:space="0" w:color="auto"/>
                                                            <w:bottom w:val="none" w:sz="0" w:space="0" w:color="auto"/>
                                                            <w:right w:val="none" w:sz="0" w:space="0" w:color="auto"/>
                                                          </w:divBdr>
                                                          <w:divsChild>
                                                            <w:div w:id="753672984">
                                                              <w:marLeft w:val="0"/>
                                                              <w:marRight w:val="0"/>
                                                              <w:marTop w:val="0"/>
                                                              <w:marBottom w:val="0"/>
                                                              <w:divBdr>
                                                                <w:top w:val="none" w:sz="0" w:space="0" w:color="auto"/>
                                                                <w:left w:val="none" w:sz="0" w:space="0" w:color="auto"/>
                                                                <w:bottom w:val="none" w:sz="0" w:space="0" w:color="auto"/>
                                                                <w:right w:val="none" w:sz="0" w:space="0" w:color="auto"/>
                                                              </w:divBdr>
                                                              <w:divsChild>
                                                                <w:div w:id="980769492">
                                                                  <w:marLeft w:val="0"/>
                                                                  <w:marRight w:val="0"/>
                                                                  <w:marTop w:val="0"/>
                                                                  <w:marBottom w:val="0"/>
                                                                  <w:divBdr>
                                                                    <w:top w:val="none" w:sz="0" w:space="0" w:color="auto"/>
                                                                    <w:left w:val="none" w:sz="0" w:space="0" w:color="auto"/>
                                                                    <w:bottom w:val="none" w:sz="0" w:space="0" w:color="auto"/>
                                                                    <w:right w:val="none" w:sz="0" w:space="0" w:color="auto"/>
                                                                  </w:divBdr>
                                                                  <w:divsChild>
                                                                    <w:div w:id="1841462649">
                                                                      <w:marLeft w:val="0"/>
                                                                      <w:marRight w:val="0"/>
                                                                      <w:marTop w:val="0"/>
                                                                      <w:marBottom w:val="0"/>
                                                                      <w:divBdr>
                                                                        <w:top w:val="none" w:sz="0" w:space="0" w:color="auto"/>
                                                                        <w:left w:val="none" w:sz="0" w:space="0" w:color="auto"/>
                                                                        <w:bottom w:val="none" w:sz="0" w:space="0" w:color="auto"/>
                                                                        <w:right w:val="none" w:sz="0" w:space="0" w:color="auto"/>
                                                                      </w:divBdr>
                                                                      <w:divsChild>
                                                                        <w:div w:id="38483821">
                                                                          <w:marLeft w:val="0"/>
                                                                          <w:marRight w:val="0"/>
                                                                          <w:marTop w:val="0"/>
                                                                          <w:marBottom w:val="0"/>
                                                                          <w:divBdr>
                                                                            <w:top w:val="none" w:sz="0" w:space="0" w:color="auto"/>
                                                                            <w:left w:val="none" w:sz="0" w:space="0" w:color="auto"/>
                                                                            <w:bottom w:val="none" w:sz="0" w:space="0" w:color="auto"/>
                                                                            <w:right w:val="none" w:sz="0" w:space="0" w:color="auto"/>
                                                                          </w:divBdr>
                                                                          <w:divsChild>
                                                                            <w:div w:id="1019548982">
                                                                              <w:marLeft w:val="0"/>
                                                                              <w:marRight w:val="0"/>
                                                                              <w:marTop w:val="0"/>
                                                                              <w:marBottom w:val="0"/>
                                                                              <w:divBdr>
                                                                                <w:top w:val="none" w:sz="0" w:space="0" w:color="auto"/>
                                                                                <w:left w:val="none" w:sz="0" w:space="0" w:color="auto"/>
                                                                                <w:bottom w:val="none" w:sz="0" w:space="0" w:color="auto"/>
                                                                                <w:right w:val="none" w:sz="0" w:space="0" w:color="auto"/>
                                                                              </w:divBdr>
                                                                              <w:divsChild>
                                                                                <w:div w:id="1206722430">
                                                                                  <w:marLeft w:val="0"/>
                                                                                  <w:marRight w:val="0"/>
                                                                                  <w:marTop w:val="0"/>
                                                                                  <w:marBottom w:val="0"/>
                                                                                  <w:divBdr>
                                                                                    <w:top w:val="none" w:sz="0" w:space="0" w:color="auto"/>
                                                                                    <w:left w:val="none" w:sz="0" w:space="0" w:color="auto"/>
                                                                                    <w:bottom w:val="none" w:sz="0" w:space="0" w:color="auto"/>
                                                                                    <w:right w:val="none" w:sz="0" w:space="0" w:color="auto"/>
                                                                                  </w:divBdr>
                                                                                </w:div>
                                                                              </w:divsChild>
                                                                            </w:div>
                                                                            <w:div w:id="1171946328">
                                                                              <w:marLeft w:val="0"/>
                                                                              <w:marRight w:val="0"/>
                                                                              <w:marTop w:val="0"/>
                                                                              <w:marBottom w:val="0"/>
                                                                              <w:divBdr>
                                                                                <w:top w:val="none" w:sz="0" w:space="0" w:color="auto"/>
                                                                                <w:left w:val="none" w:sz="0" w:space="0" w:color="auto"/>
                                                                                <w:bottom w:val="none" w:sz="0" w:space="0" w:color="auto"/>
                                                                                <w:right w:val="none" w:sz="0" w:space="0" w:color="auto"/>
                                                                              </w:divBdr>
                                                                            </w:div>
                                                                            <w:div w:id="356079780">
                                                                              <w:marLeft w:val="0"/>
                                                                              <w:marRight w:val="0"/>
                                                                              <w:marTop w:val="0"/>
                                                                              <w:marBottom w:val="0"/>
                                                                              <w:divBdr>
                                                                                <w:top w:val="none" w:sz="0" w:space="0" w:color="auto"/>
                                                                                <w:left w:val="none" w:sz="0" w:space="0" w:color="auto"/>
                                                                                <w:bottom w:val="none" w:sz="0" w:space="0" w:color="auto"/>
                                                                                <w:right w:val="none" w:sz="0" w:space="0" w:color="auto"/>
                                                                              </w:divBdr>
                                                                            </w:div>
                                                                            <w:div w:id="1035422735">
                                                                              <w:marLeft w:val="0"/>
                                                                              <w:marRight w:val="0"/>
                                                                              <w:marTop w:val="0"/>
                                                                              <w:marBottom w:val="0"/>
                                                                              <w:divBdr>
                                                                                <w:top w:val="none" w:sz="0" w:space="0" w:color="auto"/>
                                                                                <w:left w:val="none" w:sz="0" w:space="0" w:color="auto"/>
                                                                                <w:bottom w:val="none" w:sz="0" w:space="0" w:color="auto"/>
                                                                                <w:right w:val="none" w:sz="0" w:space="0" w:color="auto"/>
                                                                              </w:divBdr>
                                                                            </w:div>
                                                                            <w:div w:id="2063365757">
                                                                              <w:marLeft w:val="0"/>
                                                                              <w:marRight w:val="0"/>
                                                                              <w:marTop w:val="0"/>
                                                                              <w:marBottom w:val="0"/>
                                                                              <w:divBdr>
                                                                                <w:top w:val="none" w:sz="0" w:space="0" w:color="auto"/>
                                                                                <w:left w:val="none" w:sz="0" w:space="0" w:color="auto"/>
                                                                                <w:bottom w:val="none" w:sz="0" w:space="0" w:color="auto"/>
                                                                                <w:right w:val="none" w:sz="0" w:space="0" w:color="auto"/>
                                                                              </w:divBdr>
                                                                            </w:div>
                                                                            <w:div w:id="977150354">
                                                                              <w:marLeft w:val="0"/>
                                                                              <w:marRight w:val="0"/>
                                                                              <w:marTop w:val="0"/>
                                                                              <w:marBottom w:val="0"/>
                                                                              <w:divBdr>
                                                                                <w:top w:val="none" w:sz="0" w:space="0" w:color="auto"/>
                                                                                <w:left w:val="none" w:sz="0" w:space="0" w:color="auto"/>
                                                                                <w:bottom w:val="none" w:sz="0" w:space="0" w:color="auto"/>
                                                                                <w:right w:val="none" w:sz="0" w:space="0" w:color="auto"/>
                                                                              </w:divBdr>
                                                                            </w:div>
                                                                            <w:div w:id="2031878888">
                                                                              <w:marLeft w:val="0"/>
                                                                              <w:marRight w:val="0"/>
                                                                              <w:marTop w:val="0"/>
                                                                              <w:marBottom w:val="0"/>
                                                                              <w:divBdr>
                                                                                <w:top w:val="none" w:sz="0" w:space="0" w:color="auto"/>
                                                                                <w:left w:val="none" w:sz="0" w:space="0" w:color="auto"/>
                                                                                <w:bottom w:val="none" w:sz="0" w:space="0" w:color="auto"/>
                                                                                <w:right w:val="none" w:sz="0" w:space="0" w:color="auto"/>
                                                                              </w:divBdr>
                                                                            </w:div>
                                                                            <w:div w:id="391318152">
                                                                              <w:marLeft w:val="0"/>
                                                                              <w:marRight w:val="0"/>
                                                                              <w:marTop w:val="0"/>
                                                                              <w:marBottom w:val="0"/>
                                                                              <w:divBdr>
                                                                                <w:top w:val="none" w:sz="0" w:space="0" w:color="auto"/>
                                                                                <w:left w:val="none" w:sz="0" w:space="0" w:color="auto"/>
                                                                                <w:bottom w:val="none" w:sz="0" w:space="0" w:color="auto"/>
                                                                                <w:right w:val="none" w:sz="0" w:space="0" w:color="auto"/>
                                                                              </w:divBdr>
                                                                            </w:div>
                                                                            <w:div w:id="279340523">
                                                                              <w:marLeft w:val="0"/>
                                                                              <w:marRight w:val="0"/>
                                                                              <w:marTop w:val="0"/>
                                                                              <w:marBottom w:val="0"/>
                                                                              <w:divBdr>
                                                                                <w:top w:val="none" w:sz="0" w:space="0" w:color="auto"/>
                                                                                <w:left w:val="none" w:sz="0" w:space="0" w:color="auto"/>
                                                                                <w:bottom w:val="none" w:sz="0" w:space="0" w:color="auto"/>
                                                                                <w:right w:val="none" w:sz="0" w:space="0" w:color="auto"/>
                                                                              </w:divBdr>
                                                                            </w:div>
                                                                            <w:div w:id="4990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2212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W@anhd.org" TargetMode="External"/><Relationship Id="rId3" Type="http://schemas.openxmlformats.org/officeDocument/2006/relationships/webSettings" Target="webSettings.xml"/><Relationship Id="rId7" Type="http://schemas.openxmlformats.org/officeDocument/2006/relationships/hyperlink" Target="http://r20.rs6.net/tn.jsp?f=001K28WMZU7WWYlH-laYIEMXXb6Up0HEWfg6XtUXAp8M8Vuvid7jPvC5N1JuSFAHUhulZg87RLEwYYz7AGNHZ_IXUzy206eLFmK-uuX9K2ZLedkTCjsJ2U4jAUL4QTeBv_e20EqZY3NhF6hxQBBBQkeaKVId2z4uc5SOZW72mRRVPrsj_BVjxKH2ol2doLbBd79LDaxixrvTUCnSN1gWA7OmkaCrfaw87_X&amp;c=yt3QDQRLHVKYAFhol_nlvec5LE4KmsDUq6ENcow_ibpuBDSQwAgU8g==&amp;ch=2ePeBLHi3dGKSgYc_XnaVvHj92mgY8Hhm2ccCloz0iuApdxwBjxdn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dc:creator>
  <cp:lastModifiedBy>Gemel DeShazo</cp:lastModifiedBy>
  <cp:revision>4</cp:revision>
  <cp:lastPrinted>2017-06-30T20:00:00Z</cp:lastPrinted>
  <dcterms:created xsi:type="dcterms:W3CDTF">2017-06-29T21:02:00Z</dcterms:created>
  <dcterms:modified xsi:type="dcterms:W3CDTF">2017-06-30T20:13:00Z</dcterms:modified>
</cp:coreProperties>
</file>